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Урология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Урология | Записей: 1 | Кейс: 2 | Вопросов: 12</w:t>
      </w:r>
    </w:p>
    <w:p>
      <w:r>
        <w:br w:type="page"/>
      </w:r>
    </w:p>
    <w:p>
      <w:pPr>
        <w:pStyle w:val="Heading1"/>
      </w:pPr>
      <w:r>
        <w:t>Урология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Урология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38 лет, обратилась к врачу,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периодически возникающую ноющую боль в поясничной области справа, без иррадиации.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Мочекаменная болезнь с 25 лет, камни почек, дважды выполнялась ДУВЛ справа, с отхождением фрагментов камней. В течении последнего месяца периодическая, ноющая боль в поясничной области справа, купирующаяся спазмолитиками (но-шпа).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соответственно возрасту, отмечает перенесенные детские инфекции: ветряная оспа.</w:t>
        <w:br/>
        <w:t>* Аллергические реакции на медицинские препараты отрицает.</w:t>
        <w:br/>
        <w:t>* Замужем, двое детей.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87 кг, рост 169 см. Температура тела 36,80С. Кожные покровы влажные, теплые. Дыхание самостоятельное, ЧДД 18/мин. Тоны сердца ясные, ритмичные, ЧСС 78/мин, АД 110/70 мм рт.ст. Живот мягкий, безболезненный при пальпации. Печень и селезенка не пальпируются. Стул регулярный, оформленный.</w:t>
      </w:r>
    </w:p>
    <w:p>
      <w:pPr>
        <w:spacing w:after="58"/>
      </w:pPr>
      <w:r>
        <w:rPr>
          <w:b w:val="0"/>
          <w:i w:val="0"/>
        </w:rPr>
        <w:t>_Status localis_: с-м Пастернацкого отрицательный с обеих сторон, пальпируемых образований в поясничной области не выявлено, мочеиспускание свободное, безболезненное, моча визуально не изменена, наружные половые органы без особенностей.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необходимым для постановки диагноза лабораторным методам обследования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пробу Зимницкого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общий анализ мочи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исследование крови на паратгормон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исследование крови на ренин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биохимический анализ крови; общий анализ мочи</w:t>
      </w:r>
    </w:p>
    <w:p>
      <w:pPr>
        <w:ind w:left="504"/>
      </w:pPr>
      <w:r>
        <w:rPr>
          <w:b w:val="0"/>
          <w:i/>
        </w:rPr>
        <w:t>Рекомендуется выполнение общего (клинического) анализа крови (уровень лейкоцитов, лейкоцитарная формула, СОЭ) пациентам с МКБ с целью определения наличия и выраженности воспалительной реакции.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Мочекаменная болезнь,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Рекомендуется выполнение анализа крови биохимического общетерапевтического (креатинин, мочевая кислота, ионизированный кальций и калий) пациентам с МКБ с целью уточнения почечной функции и выявления факторов камнеобразования.</w:t>
        <w:br/>
        <w:br/>
      </w:r>
      <w:hyperlink r:id="rId11">
        <w:r>
          <w:rPr>
            <w:color w:val="0F766E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Рекомендуется выполнение общего (клинического) анализа мочи всем пациентам с МКБ с целью выявления косвенных признаков инфекции мочевых путей (лейкоцитурии и бактериурии) и гематурии.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Мочекаменная болезнь,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постановки клинического диагноза лучевыми методами исследования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динамическая нефросцинтиграфия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ультразвуковое исследование почек и мочевых путей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магнитно-резонансная томография (МРТ)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ретроградная уретеропиелография справа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мультиспиральная компьютерная томография (МСКТ)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ультразвуковое исследование почек и мочевых путей; мультиспиральная компьютерная томография (МСКТ)</w:t>
      </w:r>
    </w:p>
    <w:p>
      <w:pPr>
        <w:ind w:left="504"/>
      </w:pPr>
      <w:r>
        <w:rPr>
          <w:b w:val="0"/>
          <w:i/>
        </w:rPr>
        <w:t>Рекомендуется выполнение УЗИ почек и мочевыводящих путей и/или обзорной урографии (рентгенографию мочевыделительной системы) пациентам с МКБ в качестве метода диагностического контроля отхождения камня или выявления резидуальных конкрементов в послеоперационном периоде.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Мочекаменная болезнь,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выполнение спиральной компьютерной томографии брюшной полости и малого таза без контрастного усиления пациентам с камнями почек и мочеточника при планировании консервативного или оперативного лечения, с целью визуализации конкрементов мочевых путей, определения их локализации, размеров, плотности и количества.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Мочекаменная болезнь, 2024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Наиболее информативным и чувствительным методом при МКБ является нативная (без контрастного усиления) спиральная компьютерная томография (СКТ) - чувствительность метода составляет 96%, специфичность до 100%. Она дает возможность определить количество, размер, локализацию, структуру и плотность камня, тогда как знание последнего позволяет предсказать эффективность дистанционной литотрипсии. СКТ позволяет определить расстояние от кожи до камня и информацию об окружающей анатомии, что увеличивает эффективность активного удаления камней почки и снижает риск интраоперационных осложнений. Нативная СКТ может выявить ксантиновые и уратные камни, которые не видны при обзорной урографии, единственный тип камней, не определяющийся на СКТ, это индинавировые камни. При диагностике конкрементов мочевыводящих путей бесконтрастная СКТ обладает более высокой чувствительностью и специфичностью по сравнению с внутривенной урографией (ВУ) и УЗИ.</w:t>
        <w:br/>
        <w:br/>
      </w:r>
      <w:hyperlink r:id="rId15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проведенного комплексного обследования поставлен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МКБ (рецидив). Камень правой почки. Хронический пиелонефрит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Цистиновый камень правой почки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Острый калькулезный пиелонефрит справа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Опухоль правой почки с обызвествлением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МКБ (рецидив). Камень правой почки. Хронический пиелонефрит</w:t>
      </w:r>
    </w:p>
    <w:p>
      <w:pPr>
        <w:ind w:left="504"/>
      </w:pPr>
      <w:r>
        <w:rPr>
          <w:b w:val="0"/>
          <w:i/>
        </w:rPr>
        <w:t>Наиболее информативным и чувствительным методом при МКБ является нативная (без контрастного усиления) спиральная компьютерная томография (СКТ) - чувствительность метода составляет 96%, специфичность до 100%. Она дает возможность определить количество, размер, локализацию, структуру и плотность камня, тогда как знание последнего позволяет предсказать эффективность дистанционной литотрипсии. СКТ позволяет определить расстояние от кожи до камня и информацию об окружающей анатомии, что увеличивает эффективность активного удаления камней почки и снижает риск интраоперационных осложнений. Нативная СКТ может выявить ксантиновые и уратные камни, которые не видны при обзорной урографии, единственный тип камней, не определяющийся на СКТ, это индинавировые камни. При диагностике конкрементов мочевыводящих путей бесконтрастная СКТ обладает более высокой чувствительностью и специфичностью по сравнению с внутривенной урографией (ВУ) и УЗИ.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Мочекаменная болезнь,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Учитывая камень правой почки размерами 35х40 мм, плотностью 1430 ед по Хаунсфилду (HU), пациентке проведена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дистанционная нефролитотрипсия (ДУВЛ)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чрескожная нефролитотрипсия (ЧНЛТ)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лапароскопическая пиелокаликолитотомия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традиционная пиелолитотомия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чрескожная нефролитотрипсия (ЧНЛТ)</w:t>
      </w:r>
    </w:p>
    <w:p>
      <w:pPr>
        <w:ind w:left="504"/>
      </w:pPr>
      <w:r>
        <w:rPr>
          <w:b w:val="0"/>
          <w:i/>
        </w:rPr>
        <w:t>При камнях &gt;2 см рекомендуется выполнение ПНЛ.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Мочекаменная болезнь, 2024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Чрескожная нефролитотрипсия (ЧНЛТ) может быть завершена без дренирования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полном удвоении верхних мочевых путей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отсутствии интраоперационных осложнений и фрагментов камня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длительности оперативного пособия не более 60 минут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невозможности установления нефростомического дренажа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отсутствии интраоперационных осложнений и фрагментов камня</w:t>
      </w:r>
    </w:p>
    <w:p>
      <w:pPr>
        <w:ind w:left="504"/>
      </w:pPr>
      <w:r>
        <w:rPr>
          <w:b w:val="0"/>
          <w:i/>
        </w:rPr>
        <w:t>Рекомендуется выполнять бездренажную ПНЛ пациентам с камнями почек при условии отсутствия интраоперационных осложнений и отсутствия резидуальных камней с целью сокращения времени пребывания пациента в стационаре.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Мочекаменная болезнь,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нестабильной гемодинамике и острой анемии на фоне послеоперационного кровотечения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переливание одногрупной крови и кровезаменителей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экстренную эмболизацию почечных сосудов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экстренный гемодиализ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экстренный плазмоферез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экстренную эмболизацию почечных сосудов</w:t>
      </w:r>
    </w:p>
    <w:p>
      <w:pPr>
        <w:ind w:left="504"/>
      </w:pPr>
      <w:r>
        <w:rPr>
          <w:b w:val="0"/>
          <w:i/>
        </w:rPr>
        <w:t>Рекомендуется выполнение эмболизации почечных сосудов в экстренном порядке пациентам с нестабильной гемодинамикой и острой анемизацией на фоне неконтролируемого интра- или послеоперационного кровотечения, возникшего в процессе или после выполнения ПНЛ с целью остановки кровотечения.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Мочекаменная болезнь, 2024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невозможности выполнения экстренной эмболизации почечных сосудов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комбинированную гемостатическую терапию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экстренный гемодиализ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экстренную нефрэктомию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переливание одногрупной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экстренную нефрэктомию</w:t>
      </w:r>
    </w:p>
    <w:p>
      <w:pPr>
        <w:ind w:left="504"/>
      </w:pPr>
      <w:r>
        <w:rPr>
          <w:b w:val="0"/>
          <w:i/>
        </w:rPr>
        <w:t>Рекомендуется выполнение экстренной нефрэктомии по жизненным показаниям при невозможности выполнения эмболизации почечных сосудов пациентам с нестабильной гемодинамикой и острой анемизацией на фоне неконтролируемого интра- или послеоперационного кровотечения, возникшего в процессе или после выполнения ПНЛ с целью остановки кровотечения.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Мочекаменная болезнь, 2024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С целью профилактики рецидива мочекаменной болезни, после отхождения фрагментов камня,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динамическую нефросцинтиграфию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бактериологический посев мочи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анализ химического состава мочевого камня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исследование суточной экскреции электролитов мочи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анализ химического состава мочевого камня</w:t>
      </w:r>
    </w:p>
    <w:p>
      <w:pPr>
        <w:ind w:left="504"/>
      </w:pPr>
      <w:r>
        <w:rPr>
          <w:b w:val="0"/>
          <w:i/>
        </w:rPr>
        <w:t>Рекомендуется проводить анализ минерального состава мочевых камней при помощи достоверного метода (дифракции рентгеновских лучей или инфракрасной спектроскопии) всем пациентам с МКБ при первичной диагностике в случае самостоятельного отхождения камня или после его активного удаления с целью определения дальнейшей тактики диагностики, лечения и выбора оптимального метода метафилактики.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Мочекаменная болезнь,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исследовании химического состава мочевого камня выявлен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ньюберит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брушит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ведделлит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урат-аммония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ведделлит</w:t>
      </w:r>
    </w:p>
    <w:p>
      <w:pPr>
        <w:ind w:left="504"/>
      </w:pPr>
      <w:r>
        <w:rPr>
          <w:b w:val="0"/>
          <w:i/>
        </w:rPr>
        <w:t>a| *Химический состав* a| *Название минерала*</w:t>
        <w:br/>
        <w:br/>
        <w:t>a| Кальция Оксалат Моногидрат</w:t>
        <w:tab/>
        <w:t>a| Вевеллит</w:t>
        <w:br/>
        <w:t xml:space="preserve">a| Кальция Оксалат Дигидрат </w:t>
        <w:tab/>
        <w:t>a| Ведделит</w:t>
        <w:br/>
        <w:t>a| Мочевая кислота       a|</w:t>
        <w:tab/>
        <w:t>Урицит</w:t>
        <w:br/>
        <w:t>a| Дигидрат мочевой кислоты    a|</w:t>
        <w:tab/>
        <w:t>Урицит</w:t>
        <w:br/>
        <w:t>a| Урат аммония</w:t>
        <w:tab/>
        <w:t xml:space="preserve">   a|</w:t>
        <w:br/>
        <w:t>a| Карбонат апатит a|</w:t>
        <w:tab/>
        <w:t>Далит</w:t>
        <w:br/>
        <w:t>a| Кальция гидрогенфосфат       a|</w:t>
        <w:tab/>
        <w:t>Брушит</w:t>
        <w:br/>
        <w:t>a| Магния-аммония фосфат       a|  Струвит</w:t>
        <w:br/>
        <w:t>a| Цистин</w:t>
        <w:tab/>
        <w:t>a| Цистин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Мочекаменная болезнь, 2024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Учитывая риск рецидивного камнеобразования, пациентка должна находиться на диспансерном наблюдении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года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год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 лет</w:t>
      </w:r>
    </w:p>
    <w:p>
      <w:pPr>
        <w:ind w:left="504"/>
      </w:pPr>
      <w:r>
        <w:rPr>
          <w:b w:val="0"/>
          <w:i/>
        </w:rPr>
        <w:t>Пациенты с мочекаменной болезнью должны находиться под постоянным диспансерным наблюдением и лечиться не менее 5 лет после полного удаления камня.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Мочекаменная болезнь,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период метафилактики рецидивного камнеобразования рекомендуется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использование растительных препаратов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комплексная противовоспалительная терапия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комбинированная антибактериальная терапия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длительный литолиз с использованием цитратов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использование растительных препаратов</w:t>
      </w:r>
    </w:p>
    <w:p>
      <w:pPr>
        <w:ind w:left="504"/>
      </w:pPr>
      <w:r>
        <w:rPr>
          <w:b w:val="0"/>
          <w:i/>
        </w:rPr>
        <w:t>Применяются следующие комбинации фитоэкстрактов и витаминов, включающих в свой состав: Золототысячника трава+Любистока лекарственного корни+Розмарина обыкновенного листья; фитаты, полифенолы, магний, цинк, витамин А; терпены: пинен, камфен, цинол, фенхон, борнеол, анетол, витамин E; другие комбинации фитопрепаратов и витаминов.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Мочекаменная болезнь, 2024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Профилактика рецидива мочекаменной болезни при кальций-оксалатном камнеобразовании  основана 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диетотерапии и контроле уровня кальция и оксалата в крови и моче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регулярном приеме кальцемина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регулярном приеме аспаркама и панангина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длительном приеме цитратных препаратов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диетотерапии и контроле уровня кальция и оксалата в крови и моче</w:t>
      </w:r>
    </w:p>
    <w:p>
      <w:pPr>
        <w:ind w:left="504"/>
      </w:pPr>
      <w:r>
        <w:rPr>
          <w:b w:val="0"/>
          <w:i/>
        </w:rPr>
        <w:t>Рекомендуется пациентам, относящимся к высокой группе риска по рецидиву МКБ, коррекция консервативной и медикаментозной противорецидивной терапии в соответствии с типом выявленных нарушений в ходе дополнительного расширенного обследования.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Мочекаменная болезнь, 2024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*Комментарии*: немаловажным аспектом вторичной профилактики является «нормализация» образа жизни – так борьба с ожирением или гипертензией может снизить риски специфического камнеобразования.</w:t>
        <w:br/>
        <w:br/>
        <w:t>Рекомендуется дополнительное обследование пациентам, относящимся к высокой группе риска по рецидиву МКБ, с целью выявления метаболических нарушений, включающее:</w:t>
        <w:br/>
        <w:br/>
        <w:t>* анализ крови биохимический общетерапевтический с определением уровня ионизированного кальция, фосфора, мочевой кислоты, витамина Д 25OH;</w:t>
        <w:br/>
        <w:t>* биохимический анализ суточной мочи;</w:t>
        <w:br/>
        <w:t>* определение уровня паратиреоидного гормона в крови.</w:t>
        <w:br/>
        <w:br/>
      </w:r>
      <w:hyperlink r:id="rId28">
        <w:r>
          <w:rPr>
            <w:color w:val="0F766E"/>
            <w:u w:val="single"/>
          </w:rPr>
          <w:t>(2)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7_24/" TargetMode="External"/><Relationship Id="rId10" Type="http://schemas.openxmlformats.org/officeDocument/2006/relationships/hyperlink" Target="https://library.mededtech.ru/rest/documents/KP7_24/#list_item_lj4jl6" TargetMode="External"/><Relationship Id="rId11" Type="http://schemas.openxmlformats.org/officeDocument/2006/relationships/hyperlink" Target="https://library.mededtech.ru/rest/documents/KP7_24/#list_item_9vv7a1" TargetMode="External"/><Relationship Id="rId12" Type="http://schemas.openxmlformats.org/officeDocument/2006/relationships/hyperlink" Target="https://library.mededtech.ru/rest/documents/KP7_24/#list_item_fiusgn" TargetMode="External"/><Relationship Id="rId13" Type="http://schemas.openxmlformats.org/officeDocument/2006/relationships/hyperlink" Target="https://library.mededtech.ru/rest/documents/KP7_24/#list_item_e98uip" TargetMode="External"/><Relationship Id="rId14" Type="http://schemas.openxmlformats.org/officeDocument/2006/relationships/hyperlink" Target="https://library.mededtech.ru/rest/documents/KP7_24/#list_item_2sddbf" TargetMode="External"/><Relationship Id="rId15" Type="http://schemas.openxmlformats.org/officeDocument/2006/relationships/hyperlink" Target="https://library.mededtech.ru/rest/documents/KP7_24/#paragraph_jvsq3l" TargetMode="External"/><Relationship Id="rId16" Type="http://schemas.openxmlformats.org/officeDocument/2006/relationships/hyperlink" Target="https://library.mededtech.ru/rest/documents/KP7_24/#paragraph_pchhns" TargetMode="External"/><Relationship Id="rId17" Type="http://schemas.openxmlformats.org/officeDocument/2006/relationships/hyperlink" Target="https://library.mededtech.ru/rest/documents/KP7_24/#paragraph_dmjfhd" TargetMode="External"/><Relationship Id="rId18" Type="http://schemas.openxmlformats.org/officeDocument/2006/relationships/hyperlink" Target="https://library.mededtech.ru/rest/documents/KP7_24/#list_item_b8m356" TargetMode="External"/><Relationship Id="rId19" Type="http://schemas.openxmlformats.org/officeDocument/2006/relationships/hyperlink" Target="https://library.mededtech.ru/rest/documents/KP7_24/#paragraph_1u9sdp" TargetMode="External"/><Relationship Id="rId20" Type="http://schemas.openxmlformats.org/officeDocument/2006/relationships/hyperlink" Target="https://library.mededtech.ru/rest/documents/KP7_24/#list_item_vb5meh" TargetMode="External"/><Relationship Id="rId21" Type="http://schemas.openxmlformats.org/officeDocument/2006/relationships/hyperlink" Target="https://library.mededtech.ru/rest/documents/KP7_24/#list_item_dp45fm" TargetMode="External"/><Relationship Id="rId22" Type="http://schemas.openxmlformats.org/officeDocument/2006/relationships/hyperlink" Target="https://library.mededtech.ru/rest/documents/KP7_24/#list_item_vn3i2c" TargetMode="External"/><Relationship Id="rId23" Type="http://schemas.openxmlformats.org/officeDocument/2006/relationships/hyperlink" Target="https://library.mededtech.ru/rest/documents/KP7_24/#list_item_sca3ku" TargetMode="External"/><Relationship Id="rId24" Type="http://schemas.openxmlformats.org/officeDocument/2006/relationships/hyperlink" Target="https://library.mededtech.ru/rest/documents/KP7_24/#paragraph_qrtmeg" TargetMode="External"/><Relationship Id="rId25" Type="http://schemas.openxmlformats.org/officeDocument/2006/relationships/hyperlink" Target="https://library.mededtech.ru/rest/documents/KP7_24/#list_item_08gkms" TargetMode="External"/><Relationship Id="rId26" Type="http://schemas.openxmlformats.org/officeDocument/2006/relationships/hyperlink" Target="https://library.mededtech.ru/rest/documents/KP7_24/#paragraph_79b5j0" TargetMode="External"/><Relationship Id="rId27" Type="http://schemas.openxmlformats.org/officeDocument/2006/relationships/hyperlink" Target="https://library.mededtech.ru/rest/documents/KP7_24/#list_item_8i9u4u" TargetMode="External"/><Relationship Id="rId28" Type="http://schemas.openxmlformats.org/officeDocument/2006/relationships/hyperlink" Target="https://library.mededtech.ru/rest/documents/KP7_24/#list_item_2g513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